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k98bavj1xhin" w:id="0"/>
      <w:bookmarkEnd w:id="0"/>
      <w:r w:rsidDel="00000000" w:rsidR="00000000" w:rsidRPr="00000000">
        <w:rPr>
          <w:rFonts w:ascii="Calibri" w:cs="Calibri" w:eastAsia="Calibri" w:hAnsi="Calibri"/>
          <w:rtl w:val="0"/>
        </w:rPr>
        <w:t xml:space="preserve">RIGHT TO REFUSE DANGEROUS WORK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that all workers have a right to a safe and healthy working environment. The purpose of this policy is to outline the right to refuse work and the procedure that must be followed in the event of a work refusal.</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This policy applies to all workers at [Organization Name]. In the Northwest Territories, all workers have the right to refuse work they believe is unsafe. </w:t>
      </w:r>
    </w:p>
    <w:p w:rsidR="00000000" w:rsidDel="00000000" w:rsidP="00000000" w:rsidRDefault="00000000" w:rsidRPr="00000000" w14:paraId="00000008">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“Unusual Danger” as defined by the Northwest Territories (NWT) Safety Act, means, in relation to any work, a danger that does not normally exist in that work; or a danger under which a person engaged in that work would not normally carry out their work.”</w:t>
      </w:r>
    </w:p>
    <w:p w:rsidR="00000000" w:rsidDel="00000000" w:rsidP="00000000" w:rsidRDefault="00000000" w:rsidRPr="00000000" w14:paraId="0000000C">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when they have reason to believe: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exists an unusual danger to their health and safety;</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carrying out of the work is likely to cause to exist an unusual danger to their health or safety or that of any other person; or</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operation of any tool, appliance, machine, device or thing is likely to cause an unusual danger to their health and safety or that of any other person.</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Workers’ Safety and Compensation Commission (WSCC ) must be followed explicitly. To initiate the work refusal, a worker must only state they feel unsafe and do not wish to proceed with a task or activity.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NWT Safety Act, [Organization Name] shall not assign the work to someone else until a Union and Employer Safety Committee member or the Safety Representative have investigated the situation and deemed it to be safe.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 The worker may also notify the health and safety representative or supervisor.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have the health and safety representative, union representative, or another worker of their choosing present during the investigation.</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stay in a safe place from which to watch the investigation.</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will inform the refusing worker of the results of the investigation and the steps that have been taken to correct or eliminate the danger.</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6</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this point, the refusing worker can choose to agree to return to work. If the worker is not satisfied with the outcome of the investigation, that would lead to Step 7.</w:t>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7</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9">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and believes that the unusual danger still exists, the WSCC must be contacted so that further investigation can occur.</w:t>
      </w:r>
    </w:p>
    <w:p w:rsidR="00000000" w:rsidDel="00000000" w:rsidP="00000000" w:rsidRDefault="00000000" w:rsidRPr="00000000" w14:paraId="0000003A">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